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r>
        <w:rPr>
          <w:noProof/>
        </w:rPr>
        <w:drawing>
          <wp:inline distT="0" distB="0" distL="0" distR="0" wp14:anchorId="7C50A09E" wp14:editId="0C350BDB">
            <wp:extent cx="1933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29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4B3092" w:rsidRDefault="0072727B" w:rsidP="0072727B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3605DFC7" w:rsidR="0072727B" w:rsidRPr="004B3092" w:rsidRDefault="00EB7C1F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BOD </w:t>
      </w:r>
      <w:proofErr w:type="gramStart"/>
      <w:r>
        <w:rPr>
          <w:rFonts w:ascii="Arial Narrow" w:hAnsi="Arial Narrow"/>
          <w:sz w:val="22"/>
          <w:szCs w:val="22"/>
        </w:rPr>
        <w:t>Meeting  September</w:t>
      </w:r>
      <w:proofErr w:type="gramEnd"/>
      <w:r>
        <w:rPr>
          <w:rFonts w:ascii="Arial Narrow" w:hAnsi="Arial Narrow"/>
          <w:sz w:val="22"/>
          <w:szCs w:val="22"/>
        </w:rPr>
        <w:t xml:space="preserve"> 14</w:t>
      </w:r>
      <w:r w:rsidR="00A345C8">
        <w:rPr>
          <w:rFonts w:ascii="Arial Narrow" w:hAnsi="Arial Narrow"/>
          <w:sz w:val="22"/>
          <w:szCs w:val="22"/>
        </w:rPr>
        <w:t>, 2016</w:t>
      </w:r>
    </w:p>
    <w:p w14:paraId="14A85FEF" w14:textId="77777777" w:rsidR="0072727B" w:rsidRPr="004B3092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49C051F4" w:rsidR="005330E5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</w:t>
      </w:r>
      <w:r w:rsidR="00F1744A" w:rsidRPr="004B3092">
        <w:rPr>
          <w:rFonts w:ascii="Arial Narrow" w:hAnsi="Arial Narrow"/>
          <w:sz w:val="22"/>
          <w:szCs w:val="22"/>
        </w:rPr>
        <w:t>dell, John Bitter, Jennifer Winters</w:t>
      </w:r>
      <w:r w:rsidR="00AF5426">
        <w:rPr>
          <w:rFonts w:ascii="Arial Narrow" w:hAnsi="Arial Narrow"/>
          <w:sz w:val="22"/>
          <w:szCs w:val="22"/>
        </w:rPr>
        <w:t>, Mike Piccardo</w:t>
      </w:r>
      <w:r w:rsidRPr="004B3092">
        <w:rPr>
          <w:rFonts w:ascii="Arial Narrow" w:hAnsi="Arial Narrow"/>
          <w:sz w:val="22"/>
          <w:szCs w:val="22"/>
        </w:rPr>
        <w:t>, Jim Morefield,</w:t>
      </w:r>
      <w:r w:rsidR="00AC75D5">
        <w:rPr>
          <w:rFonts w:ascii="Arial Narrow" w:hAnsi="Arial Narrow"/>
          <w:sz w:val="22"/>
          <w:szCs w:val="22"/>
        </w:rPr>
        <w:t xml:space="preserve"> </w:t>
      </w:r>
      <w:r w:rsidR="00F1744A" w:rsidRPr="004B3092">
        <w:rPr>
          <w:rFonts w:ascii="Arial Narrow" w:hAnsi="Arial Narrow"/>
          <w:sz w:val="22"/>
          <w:szCs w:val="22"/>
        </w:rPr>
        <w:t>Matt Schubert, Buffy Paterson, Carol Cottam</w:t>
      </w:r>
      <w:r w:rsidR="00AC75D5">
        <w:rPr>
          <w:rFonts w:ascii="Arial Narrow" w:hAnsi="Arial Narrow"/>
          <w:sz w:val="22"/>
          <w:szCs w:val="22"/>
        </w:rPr>
        <w:t xml:space="preserve"> </w:t>
      </w:r>
    </w:p>
    <w:p w14:paraId="34B9CC68" w14:textId="343277A9" w:rsidR="00156584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61B02" w:rsidRPr="004B3092">
        <w:rPr>
          <w:rFonts w:ascii="Arial Narrow" w:hAnsi="Arial Narrow"/>
          <w:sz w:val="22"/>
          <w:szCs w:val="22"/>
        </w:rPr>
        <w:t>Next</w:t>
      </w:r>
      <w:r w:rsidR="00156584" w:rsidRPr="004B3092">
        <w:rPr>
          <w:rFonts w:ascii="Arial Narrow" w:hAnsi="Arial Narrow"/>
          <w:sz w:val="22"/>
          <w:szCs w:val="22"/>
        </w:rPr>
        <w:t xml:space="preserve"> Meeting: </w:t>
      </w:r>
      <w:r w:rsidR="00EB7C1F">
        <w:rPr>
          <w:rFonts w:ascii="Arial Narrow" w:hAnsi="Arial Narrow"/>
          <w:sz w:val="22"/>
          <w:szCs w:val="22"/>
        </w:rPr>
        <w:t>October 13</w:t>
      </w:r>
      <w:r w:rsidR="00AC75D5">
        <w:rPr>
          <w:rFonts w:ascii="Arial Narrow" w:hAnsi="Arial Narrow"/>
          <w:sz w:val="22"/>
          <w:szCs w:val="22"/>
        </w:rPr>
        <w:t>, 2016</w:t>
      </w:r>
    </w:p>
    <w:p w14:paraId="56E38746" w14:textId="77777777" w:rsidR="00546260" w:rsidRPr="004B3092" w:rsidRDefault="0092595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</w:t>
      </w:r>
    </w:p>
    <w:p w14:paraId="71C96BEF" w14:textId="3AA8D7F8" w:rsidR="000229F5" w:rsidRPr="004B3092" w:rsidRDefault="000C2A1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Committee </w:t>
      </w:r>
      <w:r w:rsidR="00961B02" w:rsidRPr="004B3092">
        <w:rPr>
          <w:rFonts w:ascii="Arial Narrow" w:hAnsi="Arial Narrow"/>
          <w:sz w:val="22"/>
          <w:szCs w:val="22"/>
        </w:rPr>
        <w:t>reviews LSC</w:t>
      </w:r>
      <w:r w:rsidRPr="004B3092">
        <w:rPr>
          <w:rFonts w:ascii="Arial Narrow" w:hAnsi="Arial Narrow"/>
          <w:sz w:val="22"/>
          <w:szCs w:val="22"/>
        </w:rPr>
        <w:t xml:space="preserve"> </w:t>
      </w:r>
      <w:r w:rsidR="001A6B9F" w:rsidRPr="004B3092">
        <w:rPr>
          <w:rFonts w:ascii="Arial Narrow" w:hAnsi="Arial Narrow"/>
          <w:sz w:val="22"/>
          <w:szCs w:val="22"/>
        </w:rPr>
        <w:t>financial statements and consolidated reports</w:t>
      </w:r>
      <w:r w:rsidRPr="004B3092">
        <w:rPr>
          <w:rFonts w:ascii="Arial Narrow" w:hAnsi="Arial Narrow"/>
          <w:sz w:val="22"/>
          <w:szCs w:val="22"/>
        </w:rPr>
        <w:t xml:space="preserve"> on a monthly basis</w:t>
      </w:r>
      <w:r w:rsidR="001A6B9F" w:rsidRPr="004B3092">
        <w:rPr>
          <w:rFonts w:ascii="Arial Narrow" w:hAnsi="Arial Narrow"/>
          <w:sz w:val="22"/>
          <w:szCs w:val="22"/>
        </w:rPr>
        <w:t>.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A5921" w:rsidRPr="004B3092">
        <w:rPr>
          <w:rFonts w:ascii="Arial Narrow" w:hAnsi="Arial Narrow"/>
          <w:sz w:val="22"/>
          <w:szCs w:val="22"/>
        </w:rPr>
        <w:t xml:space="preserve">Each zone </w:t>
      </w:r>
      <w:r w:rsidR="001A49A7" w:rsidRPr="004B3092">
        <w:rPr>
          <w:rFonts w:ascii="Arial Narrow" w:hAnsi="Arial Narrow"/>
          <w:sz w:val="22"/>
          <w:szCs w:val="22"/>
        </w:rPr>
        <w:t>i</w:t>
      </w:r>
      <w:r w:rsidR="009A5921" w:rsidRPr="004B3092">
        <w:rPr>
          <w:rFonts w:ascii="Arial Narrow" w:hAnsi="Arial Narrow"/>
          <w:sz w:val="22"/>
          <w:szCs w:val="22"/>
        </w:rPr>
        <w:t xml:space="preserve">s represented </w:t>
      </w:r>
      <w:r w:rsidR="001A49A7" w:rsidRPr="004B3092">
        <w:rPr>
          <w:rFonts w:ascii="Arial Narrow" w:hAnsi="Arial Narrow"/>
          <w:sz w:val="22"/>
          <w:szCs w:val="22"/>
        </w:rPr>
        <w:t>o</w:t>
      </w:r>
      <w:r w:rsidR="009A5921" w:rsidRPr="004B3092">
        <w:rPr>
          <w:rFonts w:ascii="Arial Narrow" w:hAnsi="Arial Narrow"/>
          <w:sz w:val="22"/>
          <w:szCs w:val="22"/>
        </w:rPr>
        <w:t>n the finance committee.</w:t>
      </w:r>
      <w:r w:rsidR="00EB7C1F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EB7C1F">
        <w:rPr>
          <w:rFonts w:ascii="Arial Narrow" w:hAnsi="Arial Narrow"/>
          <w:sz w:val="22"/>
          <w:szCs w:val="22"/>
        </w:rPr>
        <w:t xml:space="preserve">Many thanks to Cliff </w:t>
      </w:r>
      <w:proofErr w:type="spellStart"/>
      <w:r w:rsidR="00EB7C1F">
        <w:rPr>
          <w:rFonts w:ascii="Arial Narrow" w:hAnsi="Arial Narrow"/>
          <w:sz w:val="22"/>
          <w:szCs w:val="22"/>
        </w:rPr>
        <w:t>Reyda</w:t>
      </w:r>
      <w:proofErr w:type="spellEnd"/>
      <w:r w:rsidR="00EB7C1F">
        <w:rPr>
          <w:rFonts w:ascii="Arial Narrow" w:hAnsi="Arial Narrow"/>
          <w:sz w:val="22"/>
          <w:szCs w:val="22"/>
        </w:rPr>
        <w:t xml:space="preserve"> who has served as Zone 1 South’s treasurer for 9+ years.</w:t>
      </w:r>
      <w:proofErr w:type="gramEnd"/>
      <w:r w:rsidR="00EB7C1F">
        <w:rPr>
          <w:rFonts w:ascii="Arial Narrow" w:hAnsi="Arial Narrow"/>
          <w:sz w:val="22"/>
          <w:szCs w:val="22"/>
        </w:rPr>
        <w:t xml:space="preserve"> The committee welcomes the new Zone 1 South Treasurer Mike Piccardo</w:t>
      </w:r>
    </w:p>
    <w:p w14:paraId="38786CBF" w14:textId="77777777" w:rsidR="001A6B9F" w:rsidRPr="009C1510" w:rsidRDefault="001A6B9F">
      <w:pPr>
        <w:rPr>
          <w:rFonts w:ascii="Arial Narrow" w:hAnsi="Arial Narrow"/>
          <w:sz w:val="16"/>
          <w:szCs w:val="16"/>
        </w:rPr>
      </w:pPr>
    </w:p>
    <w:p w14:paraId="2C423086" w14:textId="1945CF6D" w:rsidR="009A5921" w:rsidRPr="004B3092" w:rsidRDefault="001A6B9F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81444D" w:rsidRPr="004B3092">
        <w:rPr>
          <w:rFonts w:ascii="Arial Narrow" w:hAnsi="Arial Narrow"/>
          <w:sz w:val="22"/>
          <w:szCs w:val="22"/>
        </w:rPr>
        <w:t xml:space="preserve">consolidated </w:t>
      </w:r>
      <w:r w:rsidRPr="004B3092">
        <w:rPr>
          <w:rFonts w:ascii="Arial Narrow" w:hAnsi="Arial Narrow"/>
          <w:sz w:val="22"/>
          <w:szCs w:val="22"/>
        </w:rPr>
        <w:t xml:space="preserve">financial statements </w:t>
      </w:r>
      <w:r w:rsidR="0081444D" w:rsidRPr="004B3092">
        <w:rPr>
          <w:rFonts w:ascii="Arial Narrow" w:hAnsi="Arial Narrow"/>
          <w:sz w:val="22"/>
          <w:szCs w:val="22"/>
        </w:rPr>
        <w:t>for the year ending</w:t>
      </w:r>
      <w:r w:rsidR="007753A7">
        <w:rPr>
          <w:rFonts w:ascii="Arial Narrow" w:hAnsi="Arial Narrow"/>
          <w:sz w:val="22"/>
          <w:szCs w:val="22"/>
        </w:rPr>
        <w:t xml:space="preserve"> </w:t>
      </w:r>
      <w:r w:rsidR="00EB7C1F">
        <w:rPr>
          <w:rFonts w:ascii="Arial Narrow" w:hAnsi="Arial Narrow"/>
          <w:sz w:val="22"/>
          <w:szCs w:val="22"/>
        </w:rPr>
        <w:t>July and August</w:t>
      </w:r>
      <w:r w:rsidR="00AC75D5">
        <w:rPr>
          <w:rFonts w:ascii="Arial Narrow" w:hAnsi="Arial Narrow"/>
          <w:sz w:val="22"/>
          <w:szCs w:val="22"/>
        </w:rPr>
        <w:t>, 2016</w:t>
      </w:r>
      <w:r w:rsidR="007753A7">
        <w:rPr>
          <w:rFonts w:ascii="Arial Narrow" w:hAnsi="Arial Narrow"/>
          <w:sz w:val="22"/>
          <w:szCs w:val="22"/>
        </w:rPr>
        <w:t xml:space="preserve"> were reviewed</w:t>
      </w:r>
      <w:r w:rsidR="00817950" w:rsidRPr="004B3092">
        <w:rPr>
          <w:rFonts w:ascii="Arial Narrow" w:hAnsi="Arial Narrow"/>
          <w:sz w:val="22"/>
          <w:szCs w:val="22"/>
        </w:rPr>
        <w:t xml:space="preserve">. </w:t>
      </w:r>
      <w:r w:rsidR="007753A7">
        <w:rPr>
          <w:rFonts w:ascii="Arial Narrow" w:hAnsi="Arial Narrow"/>
          <w:sz w:val="22"/>
          <w:szCs w:val="22"/>
        </w:rPr>
        <w:t>(Posted)</w:t>
      </w:r>
    </w:p>
    <w:p w14:paraId="77351A2E" w14:textId="77777777" w:rsidR="00961B02" w:rsidRPr="009C1510" w:rsidRDefault="00961B02">
      <w:pPr>
        <w:rPr>
          <w:rFonts w:ascii="Arial Narrow" w:hAnsi="Arial Narrow"/>
          <w:sz w:val="16"/>
          <w:szCs w:val="16"/>
        </w:rPr>
      </w:pPr>
    </w:p>
    <w:p w14:paraId="1F94EE0E" w14:textId="7586BB0A" w:rsidR="005330E5" w:rsidRDefault="00EB7C1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All of the old LSC and Zone accounts were closed and new ones were opened</w:t>
      </w:r>
      <w:r w:rsidR="00457C59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Chase supplied new checks </w:t>
      </w:r>
      <w:proofErr w:type="gramStart"/>
      <w:r>
        <w:rPr>
          <w:rFonts w:ascii="Arial Narrow" w:hAnsi="Arial Narrow"/>
          <w:sz w:val="22"/>
          <w:szCs w:val="22"/>
        </w:rPr>
        <w:t>and  endorsement</w:t>
      </w:r>
      <w:proofErr w:type="gramEnd"/>
      <w:r>
        <w:rPr>
          <w:rFonts w:ascii="Arial Narrow" w:hAnsi="Arial Narrow"/>
          <w:sz w:val="22"/>
          <w:szCs w:val="22"/>
        </w:rPr>
        <w:t xml:space="preserve"> stamps to everyone. The committee is considering new protocols to protect our accounts. </w:t>
      </w:r>
    </w:p>
    <w:p w14:paraId="4CC257D5" w14:textId="77777777" w:rsidR="00EB7C1F" w:rsidRDefault="00EB7C1F">
      <w:pPr>
        <w:rPr>
          <w:rFonts w:ascii="Arial Narrow" w:hAnsi="Arial Narrow"/>
          <w:sz w:val="22"/>
          <w:szCs w:val="22"/>
        </w:rPr>
      </w:pPr>
    </w:p>
    <w:p w14:paraId="56B0611E" w14:textId="76EB7F19" w:rsidR="00EB7C1F" w:rsidRPr="009C1510" w:rsidRDefault="00EB7C1F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t xml:space="preserve">LMGW will begin work on a review of the 2015-16 </w:t>
      </w:r>
      <w:proofErr w:type="gramStart"/>
      <w:r>
        <w:rPr>
          <w:rFonts w:ascii="Arial Narrow" w:hAnsi="Arial Narrow"/>
          <w:sz w:val="22"/>
          <w:szCs w:val="22"/>
        </w:rPr>
        <w:t>Financial</w:t>
      </w:r>
      <w:proofErr w:type="gramEnd"/>
      <w:r>
        <w:rPr>
          <w:rFonts w:ascii="Arial Narrow" w:hAnsi="Arial Narrow"/>
          <w:sz w:val="22"/>
          <w:szCs w:val="22"/>
        </w:rPr>
        <w:t xml:space="preserve"> statements. They have also been contracted to complete Pacific’s informational returns.</w:t>
      </w:r>
    </w:p>
    <w:p w14:paraId="372FBFA8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3DD85138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0F73D921" w14:textId="77777777" w:rsidR="00457C59" w:rsidRDefault="00457C59">
      <w:pPr>
        <w:rPr>
          <w:rFonts w:ascii="Arial Narrow" w:hAnsi="Arial Narrow"/>
          <w:b/>
          <w:sz w:val="22"/>
          <w:szCs w:val="22"/>
        </w:rPr>
      </w:pPr>
    </w:p>
    <w:p w14:paraId="6A5D7478" w14:textId="77777777" w:rsidR="00457C59" w:rsidRDefault="00457C59">
      <w:pPr>
        <w:rPr>
          <w:rFonts w:ascii="Arial Narrow" w:hAnsi="Arial Narrow"/>
          <w:b/>
          <w:sz w:val="22"/>
          <w:szCs w:val="22"/>
        </w:rPr>
      </w:pPr>
    </w:p>
    <w:p w14:paraId="2EB0AC3C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2F7D560B" w14:textId="77777777" w:rsidR="00FD3B87" w:rsidRPr="004B3092" w:rsidRDefault="00FD3B87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1245AB83" w14:textId="6501A627" w:rsidR="00446255" w:rsidRDefault="00AC75D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F56774" w:rsidRPr="004B3092">
        <w:rPr>
          <w:rFonts w:ascii="Arial Narrow" w:hAnsi="Arial Narrow"/>
          <w:sz w:val="22"/>
          <w:szCs w:val="22"/>
        </w:rPr>
        <w:t xml:space="preserve">OD Meeting, </w:t>
      </w:r>
      <w:r>
        <w:rPr>
          <w:rFonts w:ascii="Arial Narrow" w:hAnsi="Arial Narrow"/>
          <w:sz w:val="22"/>
          <w:szCs w:val="22"/>
        </w:rPr>
        <w:t>July 20, 2016</w:t>
      </w:r>
    </w:p>
    <w:p w14:paraId="0B50015C" w14:textId="77777777" w:rsidR="00AC75D5" w:rsidRPr="004B3092" w:rsidRDefault="00AC75D5">
      <w:pPr>
        <w:rPr>
          <w:rFonts w:ascii="Arial Narrow" w:hAnsi="Arial Narrow"/>
          <w:sz w:val="22"/>
          <w:szCs w:val="22"/>
        </w:rPr>
      </w:pPr>
    </w:p>
    <w:p w14:paraId="07AA69D3" w14:textId="5914D313" w:rsidR="00961B0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Ruddell, John Bitter, Leo Lin, Don Heidary, </w:t>
      </w:r>
      <w:r w:rsidR="00A91777" w:rsidRPr="004B3092">
        <w:rPr>
          <w:rFonts w:ascii="Arial Narrow" w:hAnsi="Arial Narrow"/>
          <w:sz w:val="22"/>
          <w:szCs w:val="22"/>
        </w:rPr>
        <w:t>Jennifer Winters</w:t>
      </w:r>
      <w:r w:rsidR="00AC66D0" w:rsidRPr="004B3092">
        <w:rPr>
          <w:rFonts w:ascii="Arial Narrow" w:hAnsi="Arial Narrow"/>
          <w:sz w:val="22"/>
          <w:szCs w:val="22"/>
        </w:rPr>
        <w:t>,</w:t>
      </w:r>
      <w:r w:rsidR="00502E62" w:rsidRPr="004B3092">
        <w:rPr>
          <w:rFonts w:ascii="Arial Narrow" w:hAnsi="Arial Narrow"/>
          <w:sz w:val="22"/>
          <w:szCs w:val="22"/>
        </w:rPr>
        <w:t xml:space="preserve"> Mike Rianda, </w:t>
      </w:r>
      <w:r w:rsidR="00AC66D0" w:rsidRPr="004B3092">
        <w:rPr>
          <w:rFonts w:ascii="Arial Narrow" w:hAnsi="Arial Narrow"/>
          <w:sz w:val="22"/>
          <w:szCs w:val="22"/>
        </w:rPr>
        <w:t xml:space="preserve"> Mike Piccardo</w:t>
      </w:r>
      <w:r w:rsidRPr="004B3092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and Bob DeRuse </w:t>
      </w:r>
      <w:r w:rsidR="00167E20" w:rsidRPr="004B3092">
        <w:rPr>
          <w:rFonts w:ascii="Arial Narrow" w:hAnsi="Arial Narrow"/>
          <w:sz w:val="22"/>
          <w:szCs w:val="22"/>
        </w:rPr>
        <w:t xml:space="preserve"> </w:t>
      </w:r>
    </w:p>
    <w:p w14:paraId="1536B1E3" w14:textId="7DD40CA8" w:rsidR="00502E6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Pr="004B3092">
        <w:rPr>
          <w:rFonts w:ascii="Arial Narrow" w:hAnsi="Arial Narrow"/>
          <w:sz w:val="22"/>
          <w:szCs w:val="22"/>
        </w:rPr>
        <w:t xml:space="preserve"> Quarterly</w:t>
      </w:r>
      <w:r w:rsidR="00FF6C07">
        <w:rPr>
          <w:rFonts w:ascii="Arial Narrow" w:hAnsi="Arial Narrow"/>
          <w:sz w:val="22"/>
          <w:szCs w:val="22"/>
        </w:rPr>
        <w:t>.   Next meeting TBD</w:t>
      </w:r>
    </w:p>
    <w:p w14:paraId="42712E2B" w14:textId="77777777" w:rsidR="00DF73EB" w:rsidRPr="004B3092" w:rsidRDefault="00DF73EB">
      <w:pPr>
        <w:rPr>
          <w:rFonts w:ascii="Arial Narrow" w:hAnsi="Arial Narrow"/>
          <w:sz w:val="22"/>
          <w:szCs w:val="22"/>
        </w:rPr>
      </w:pPr>
    </w:p>
    <w:p w14:paraId="58A7A8C9" w14:textId="0C0602F0" w:rsidR="00A91777" w:rsidRPr="004B3092" w:rsidRDefault="00A13B75" w:rsidP="00A91777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account balance as of </w:t>
      </w:r>
      <w:r w:rsidR="00FF6C07">
        <w:rPr>
          <w:rFonts w:ascii="Arial Narrow" w:hAnsi="Arial Narrow"/>
        </w:rPr>
        <w:t>August 31, 2016 is $2,622,353.18</w:t>
      </w:r>
    </w:p>
    <w:p w14:paraId="0B6818DF" w14:textId="1860803B" w:rsidR="009A5921" w:rsidRDefault="007753A7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table below shows </w:t>
      </w:r>
      <w:r w:rsidR="00A13B75">
        <w:rPr>
          <w:rFonts w:ascii="Arial Narrow" w:hAnsi="Arial Narrow"/>
        </w:rPr>
        <w:t xml:space="preserve">the balances in each of the sub accounts </w:t>
      </w:r>
    </w:p>
    <w:p w14:paraId="1C101600" w14:textId="77777777" w:rsidR="00BF4436" w:rsidRDefault="00BF4436" w:rsidP="004B3092">
      <w:pPr>
        <w:pStyle w:val="NoSpacing"/>
        <w:spacing w:line="30" w:lineRule="atLeast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530"/>
      </w:tblGrid>
      <w:tr w:rsidR="00A13B75" w14:paraId="3412C02B" w14:textId="77777777" w:rsidTr="00BF4436">
        <w:trPr>
          <w:gridAfter w:val="1"/>
          <w:wAfter w:w="1530" w:type="dxa"/>
        </w:trPr>
        <w:tc>
          <w:tcPr>
            <w:tcW w:w="2178" w:type="dxa"/>
          </w:tcPr>
          <w:p w14:paraId="1ABC7E21" w14:textId="04C0AC12" w:rsidR="00A13B75" w:rsidRDefault="00FF6C07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August 31</w:t>
            </w:r>
            <w:r w:rsidR="00A13B75">
              <w:rPr>
                <w:rFonts w:ascii="Arial Narrow" w:hAnsi="Arial Narrow"/>
              </w:rPr>
              <w:t>, 2016</w:t>
            </w:r>
          </w:p>
        </w:tc>
      </w:tr>
      <w:tr w:rsidR="00A13B75" w14:paraId="21C7743E" w14:textId="77777777" w:rsidTr="00BF4436">
        <w:tc>
          <w:tcPr>
            <w:tcW w:w="2178" w:type="dxa"/>
          </w:tcPr>
          <w:p w14:paraId="4E62F97A" w14:textId="1DD3AD43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LSC </w:t>
            </w:r>
          </w:p>
        </w:tc>
        <w:tc>
          <w:tcPr>
            <w:tcW w:w="1530" w:type="dxa"/>
            <w:vAlign w:val="center"/>
          </w:tcPr>
          <w:p w14:paraId="46099E94" w14:textId="0D17A152" w:rsidR="00A13B75" w:rsidRDefault="00A13B75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FF6C07">
              <w:rPr>
                <w:rFonts w:ascii="Arial Narrow" w:hAnsi="Arial Narrow"/>
              </w:rPr>
              <w:t>409,545</w:t>
            </w:r>
          </w:p>
        </w:tc>
      </w:tr>
      <w:tr w:rsidR="00A13B75" w14:paraId="1AE76A8B" w14:textId="77777777" w:rsidTr="00BF4436">
        <w:tc>
          <w:tcPr>
            <w:tcW w:w="2178" w:type="dxa"/>
          </w:tcPr>
          <w:p w14:paraId="7BC33B79" w14:textId="02B39A20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Board Designated Fund</w:t>
            </w:r>
          </w:p>
        </w:tc>
        <w:tc>
          <w:tcPr>
            <w:tcW w:w="1530" w:type="dxa"/>
            <w:vAlign w:val="center"/>
          </w:tcPr>
          <w:p w14:paraId="0BCD7FB4" w14:textId="006EA352" w:rsidR="00A13B75" w:rsidRDefault="00FF6C07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$121,552</w:t>
            </w:r>
            <w:bookmarkStart w:id="0" w:name="_GoBack"/>
            <w:bookmarkEnd w:id="0"/>
          </w:p>
        </w:tc>
      </w:tr>
      <w:tr w:rsidR="00A13B75" w14:paraId="6941A143" w14:textId="77777777" w:rsidTr="00BF4436">
        <w:tc>
          <w:tcPr>
            <w:tcW w:w="2178" w:type="dxa"/>
          </w:tcPr>
          <w:p w14:paraId="3AEF1A28" w14:textId="3F2C6CD5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2</w:t>
            </w:r>
          </w:p>
        </w:tc>
        <w:tc>
          <w:tcPr>
            <w:tcW w:w="1530" w:type="dxa"/>
            <w:vAlign w:val="center"/>
          </w:tcPr>
          <w:p w14:paraId="01CB4B33" w14:textId="5195718F" w:rsidR="00A13B75" w:rsidRDefault="00FF6C07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59</w:t>
            </w:r>
            <w:r w:rsidR="00457C59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214</w:t>
            </w:r>
          </w:p>
        </w:tc>
      </w:tr>
      <w:tr w:rsidR="00A13B75" w14:paraId="17919B45" w14:textId="77777777" w:rsidTr="00BF4436">
        <w:tc>
          <w:tcPr>
            <w:tcW w:w="2178" w:type="dxa"/>
          </w:tcPr>
          <w:p w14:paraId="15D4709E" w14:textId="2657EB7E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1 South</w:t>
            </w:r>
          </w:p>
        </w:tc>
        <w:tc>
          <w:tcPr>
            <w:tcW w:w="1530" w:type="dxa"/>
            <w:vAlign w:val="center"/>
          </w:tcPr>
          <w:p w14:paraId="11F118BF" w14:textId="3AED1CBE" w:rsidR="00A13B75" w:rsidRDefault="00457C59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3</w:t>
            </w:r>
            <w:r w:rsidR="00FF6C07">
              <w:rPr>
                <w:rFonts w:ascii="Arial Narrow" w:hAnsi="Arial Narrow"/>
              </w:rPr>
              <w:t>2.042</w:t>
            </w:r>
          </w:p>
        </w:tc>
      </w:tr>
      <w:tr w:rsidR="00A13B75" w14:paraId="09F67E58" w14:textId="77777777" w:rsidTr="00BF4436">
        <w:tc>
          <w:tcPr>
            <w:tcW w:w="2178" w:type="dxa"/>
          </w:tcPr>
          <w:p w14:paraId="47FE7544" w14:textId="70E73283" w:rsidR="00A13B75" w:rsidRDefault="00A13B75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Total Ending Balance</w:t>
            </w:r>
          </w:p>
        </w:tc>
        <w:tc>
          <w:tcPr>
            <w:tcW w:w="1530" w:type="dxa"/>
            <w:vAlign w:val="center"/>
          </w:tcPr>
          <w:p w14:paraId="07E58B52" w14:textId="71848A89" w:rsidR="00A13B75" w:rsidRDefault="00A13B75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9970B4">
              <w:rPr>
                <w:rFonts w:ascii="Arial Narrow" w:hAnsi="Arial Narrow"/>
              </w:rPr>
              <w:t>6</w:t>
            </w:r>
            <w:r w:rsidR="00FF6C07">
              <w:rPr>
                <w:rFonts w:ascii="Arial Narrow" w:hAnsi="Arial Narrow"/>
              </w:rPr>
              <w:t>22,353</w:t>
            </w:r>
          </w:p>
        </w:tc>
      </w:tr>
    </w:tbl>
    <w:p w14:paraId="01A6B5B9" w14:textId="1238050D" w:rsidR="004B3092" w:rsidRDefault="004B3092" w:rsidP="000E1C79">
      <w:pPr>
        <w:pStyle w:val="NoSpacing"/>
        <w:spacing w:line="30" w:lineRule="atLeast"/>
        <w:rPr>
          <w:rFonts w:ascii="Arial Narrow" w:hAnsi="Arial Narrow"/>
        </w:rPr>
      </w:pPr>
    </w:p>
    <w:p w14:paraId="119AF430" w14:textId="6E64ADFB" w:rsidR="00AC75D5" w:rsidRDefault="00FF6C0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Olympic Trials Travel Support:</w:t>
      </w:r>
    </w:p>
    <w:p w14:paraId="5D6B09D2" w14:textId="6A6F38EA" w:rsidR="00FF6C07" w:rsidRDefault="00FF6C0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Sixty athletes representing Pacific Swimming at Trials were eligible to receive travel support. A total of $73,500 was distributed to the athletes clubs. Arrangements are being made to transfer money</w:t>
      </w:r>
      <w:r w:rsidR="000E1C79">
        <w:rPr>
          <w:rFonts w:ascii="Arial Narrow" w:hAnsi="Arial Narrow"/>
          <w:sz w:val="22"/>
          <w:szCs w:val="22"/>
        </w:rPr>
        <w:t xml:space="preserve"> ($101,455</w:t>
      </w:r>
      <w:proofErr w:type="gramStart"/>
      <w:r w:rsidR="000E1C79">
        <w:rPr>
          <w:rFonts w:ascii="Arial Narrow" w:hAnsi="Arial Narrow"/>
          <w:sz w:val="22"/>
          <w:szCs w:val="22"/>
        </w:rPr>
        <w:t xml:space="preserve">) </w:t>
      </w:r>
      <w:r>
        <w:rPr>
          <w:rFonts w:ascii="Arial Narrow" w:hAnsi="Arial Narrow"/>
          <w:sz w:val="22"/>
          <w:szCs w:val="22"/>
        </w:rPr>
        <w:t xml:space="preserve"> from</w:t>
      </w:r>
      <w:proofErr w:type="gramEnd"/>
      <w:r>
        <w:rPr>
          <w:rFonts w:ascii="Arial Narrow" w:hAnsi="Arial Narrow"/>
          <w:sz w:val="22"/>
          <w:szCs w:val="22"/>
        </w:rPr>
        <w:t xml:space="preserve"> the i</w:t>
      </w:r>
      <w:r w:rsidR="000E1C79">
        <w:rPr>
          <w:rFonts w:ascii="Arial Narrow" w:hAnsi="Arial Narrow"/>
          <w:sz w:val="22"/>
          <w:szCs w:val="22"/>
        </w:rPr>
        <w:t xml:space="preserve">nvestment account to cover OT travel support </w:t>
      </w:r>
      <w:r>
        <w:rPr>
          <w:rFonts w:ascii="Arial Narrow" w:hAnsi="Arial Narrow"/>
          <w:sz w:val="22"/>
          <w:szCs w:val="22"/>
        </w:rPr>
        <w:t>and the equipment grants</w:t>
      </w:r>
      <w:r w:rsidR="000E1C79">
        <w:rPr>
          <w:rFonts w:ascii="Arial Narrow" w:hAnsi="Arial Narrow"/>
          <w:sz w:val="22"/>
          <w:szCs w:val="22"/>
        </w:rPr>
        <w:t xml:space="preserve"> ($27,955)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71316D3D" w14:textId="77777777" w:rsidR="00FD0FD9" w:rsidRDefault="00FD0FD9">
      <w:pPr>
        <w:rPr>
          <w:rFonts w:ascii="Arial Narrow" w:hAnsi="Arial Narrow"/>
          <w:sz w:val="22"/>
          <w:szCs w:val="22"/>
        </w:rPr>
      </w:pPr>
    </w:p>
    <w:p w14:paraId="615384EB" w14:textId="639243ED" w:rsidR="00C31FCD" w:rsidRDefault="000E1C79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Pacific Swimming </w:t>
      </w:r>
      <w:r w:rsidR="00AF5426">
        <w:rPr>
          <w:rFonts w:ascii="Arial Narrow" w:hAnsi="Arial Narrow"/>
          <w:sz w:val="22"/>
          <w:szCs w:val="22"/>
        </w:rPr>
        <w:t>Quad Grant Program</w:t>
      </w:r>
      <w:r>
        <w:rPr>
          <w:rFonts w:ascii="Arial Narrow" w:hAnsi="Arial Narrow"/>
          <w:sz w:val="22"/>
          <w:szCs w:val="22"/>
        </w:rPr>
        <w:t>:</w:t>
      </w:r>
    </w:p>
    <w:p w14:paraId="19CDCFB7" w14:textId="22ED1E2C" w:rsidR="00AF5426" w:rsidRDefault="00AF5426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The Investment committee is presenting a new grant program. </w:t>
      </w:r>
    </w:p>
    <w:p w14:paraId="1115DC66" w14:textId="3B2397FA" w:rsidR="000E1C79" w:rsidRPr="007753A7" w:rsidRDefault="00AF5426" w:rsidP="007753A7">
      <w:pPr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Motion 1609IC1.</w:t>
      </w:r>
      <w:proofErr w:type="gramEnd"/>
      <w:r>
        <w:rPr>
          <w:rFonts w:ascii="Arial Narrow" w:hAnsi="Arial Narrow"/>
          <w:sz w:val="22"/>
          <w:szCs w:val="22"/>
        </w:rPr>
        <w:t xml:space="preserve"> The Investment Committee recommends the new Pacific Swimming Quad Grant Program for approval.  </w:t>
      </w:r>
      <w:r w:rsidR="000E1C79">
        <w:rPr>
          <w:rFonts w:ascii="Arial Narrow" w:hAnsi="Arial Narrow"/>
          <w:sz w:val="22"/>
          <w:szCs w:val="22"/>
        </w:rPr>
        <w:t xml:space="preserve"> </w:t>
      </w:r>
    </w:p>
    <w:sectPr w:rsidR="000E1C79" w:rsidRPr="007753A7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4F9A7" w14:textId="77777777" w:rsidR="009A7700" w:rsidRDefault="009A7700">
      <w:r>
        <w:separator/>
      </w:r>
    </w:p>
  </w:endnote>
  <w:endnote w:type="continuationSeparator" w:id="0">
    <w:p w14:paraId="24D9CB55" w14:textId="77777777" w:rsidR="009A7700" w:rsidRDefault="009A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F9C37" w14:textId="77777777" w:rsidR="009A7700" w:rsidRDefault="009A7700">
      <w:r>
        <w:separator/>
      </w:r>
    </w:p>
  </w:footnote>
  <w:footnote w:type="continuationSeparator" w:id="0">
    <w:p w14:paraId="65F41BAC" w14:textId="77777777" w:rsidR="009A7700" w:rsidRDefault="009A7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B0162"/>
    <w:multiLevelType w:val="hybridMultilevel"/>
    <w:tmpl w:val="2A267A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60068"/>
    <w:rsid w:val="00062CFF"/>
    <w:rsid w:val="00065129"/>
    <w:rsid w:val="00067DFC"/>
    <w:rsid w:val="00075CE0"/>
    <w:rsid w:val="00082241"/>
    <w:rsid w:val="00084989"/>
    <w:rsid w:val="00096595"/>
    <w:rsid w:val="000A3CD5"/>
    <w:rsid w:val="000A67D0"/>
    <w:rsid w:val="000B5E4F"/>
    <w:rsid w:val="000B5FFC"/>
    <w:rsid w:val="000B6FF2"/>
    <w:rsid w:val="000C2A15"/>
    <w:rsid w:val="000C7963"/>
    <w:rsid w:val="000D1782"/>
    <w:rsid w:val="000D44D1"/>
    <w:rsid w:val="000D73B0"/>
    <w:rsid w:val="000E1C79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62522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11980"/>
    <w:rsid w:val="00332844"/>
    <w:rsid w:val="003355A0"/>
    <w:rsid w:val="003360D6"/>
    <w:rsid w:val="0034134E"/>
    <w:rsid w:val="003503B0"/>
    <w:rsid w:val="003524F1"/>
    <w:rsid w:val="00355865"/>
    <w:rsid w:val="003A5574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57C59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B3092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0C9E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51584"/>
    <w:rsid w:val="00674842"/>
    <w:rsid w:val="00694FD8"/>
    <w:rsid w:val="00695294"/>
    <w:rsid w:val="00695A5B"/>
    <w:rsid w:val="00696592"/>
    <w:rsid w:val="006979BC"/>
    <w:rsid w:val="006A3AC5"/>
    <w:rsid w:val="006A504D"/>
    <w:rsid w:val="006B4004"/>
    <w:rsid w:val="006B64E7"/>
    <w:rsid w:val="006C1579"/>
    <w:rsid w:val="006E3D0E"/>
    <w:rsid w:val="006E6DFD"/>
    <w:rsid w:val="006F5D51"/>
    <w:rsid w:val="00700E97"/>
    <w:rsid w:val="00704290"/>
    <w:rsid w:val="0070457E"/>
    <w:rsid w:val="00707774"/>
    <w:rsid w:val="007149E0"/>
    <w:rsid w:val="007217E7"/>
    <w:rsid w:val="0072727B"/>
    <w:rsid w:val="00740055"/>
    <w:rsid w:val="007434B6"/>
    <w:rsid w:val="00747610"/>
    <w:rsid w:val="00752850"/>
    <w:rsid w:val="00752AB4"/>
    <w:rsid w:val="00752C26"/>
    <w:rsid w:val="007572A5"/>
    <w:rsid w:val="007607DC"/>
    <w:rsid w:val="0076404D"/>
    <w:rsid w:val="007753A7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1063"/>
    <w:rsid w:val="00914C2E"/>
    <w:rsid w:val="00923094"/>
    <w:rsid w:val="009256BD"/>
    <w:rsid w:val="0092595A"/>
    <w:rsid w:val="00926EB8"/>
    <w:rsid w:val="00934C65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93B5A"/>
    <w:rsid w:val="009970B4"/>
    <w:rsid w:val="009A382E"/>
    <w:rsid w:val="009A5921"/>
    <w:rsid w:val="009A7700"/>
    <w:rsid w:val="009C1510"/>
    <w:rsid w:val="009C78A9"/>
    <w:rsid w:val="009D3509"/>
    <w:rsid w:val="009D76B8"/>
    <w:rsid w:val="009E2C90"/>
    <w:rsid w:val="009F58BA"/>
    <w:rsid w:val="00A13B75"/>
    <w:rsid w:val="00A24A35"/>
    <w:rsid w:val="00A33DFB"/>
    <w:rsid w:val="00A345C8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91777"/>
    <w:rsid w:val="00AA226C"/>
    <w:rsid w:val="00AB59A3"/>
    <w:rsid w:val="00AC2D0F"/>
    <w:rsid w:val="00AC3AC6"/>
    <w:rsid w:val="00AC436F"/>
    <w:rsid w:val="00AC66D0"/>
    <w:rsid w:val="00AC75D5"/>
    <w:rsid w:val="00AD3A6F"/>
    <w:rsid w:val="00AD5B81"/>
    <w:rsid w:val="00AE2D07"/>
    <w:rsid w:val="00AF21E6"/>
    <w:rsid w:val="00AF3D41"/>
    <w:rsid w:val="00AF5426"/>
    <w:rsid w:val="00B0268E"/>
    <w:rsid w:val="00B04E9C"/>
    <w:rsid w:val="00B2657F"/>
    <w:rsid w:val="00B27E28"/>
    <w:rsid w:val="00B57B01"/>
    <w:rsid w:val="00B71F82"/>
    <w:rsid w:val="00B90D6F"/>
    <w:rsid w:val="00B92A23"/>
    <w:rsid w:val="00BA1C96"/>
    <w:rsid w:val="00BB2F60"/>
    <w:rsid w:val="00BC091E"/>
    <w:rsid w:val="00BE2729"/>
    <w:rsid w:val="00BF4436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00BF"/>
    <w:rsid w:val="00C934A6"/>
    <w:rsid w:val="00CA5A8D"/>
    <w:rsid w:val="00CC5186"/>
    <w:rsid w:val="00CD42DF"/>
    <w:rsid w:val="00CD6A26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B7C1F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6940"/>
    <w:rsid w:val="00EF7AAB"/>
    <w:rsid w:val="00F01D65"/>
    <w:rsid w:val="00F0590B"/>
    <w:rsid w:val="00F10BC7"/>
    <w:rsid w:val="00F1744A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A58A9"/>
    <w:rsid w:val="00FC53DE"/>
    <w:rsid w:val="00FD0FD9"/>
    <w:rsid w:val="00FD21CE"/>
    <w:rsid w:val="00FD3B87"/>
    <w:rsid w:val="00FD7B02"/>
    <w:rsid w:val="00FE16DC"/>
    <w:rsid w:val="00FE1AEC"/>
    <w:rsid w:val="00FE6148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2039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Pacific Treasurer</cp:lastModifiedBy>
  <cp:revision>1</cp:revision>
  <cp:lastPrinted>2016-04-28T23:41:00Z</cp:lastPrinted>
  <dcterms:created xsi:type="dcterms:W3CDTF">2016-09-08T05:35:00Z</dcterms:created>
  <dcterms:modified xsi:type="dcterms:W3CDTF">2016-09-11T23:56:00Z</dcterms:modified>
</cp:coreProperties>
</file>